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天津</w:t>
      </w:r>
      <w:r>
        <w:t>沉香艺术博物馆20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度</w:t>
      </w:r>
      <w:r>
        <w:rPr>
          <w:rFonts w:hint="eastAsia"/>
        </w:rPr>
        <w:t>工作</w:t>
      </w:r>
      <w:r>
        <w:rPr>
          <w:rFonts w:hint="eastAsia"/>
          <w:lang w:val="en-US" w:eastAsia="zh-CN"/>
        </w:rPr>
        <w:t>报告</w:t>
      </w:r>
    </w:p>
    <w:p>
      <w:pPr>
        <w:pStyle w:val="3"/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一、展览情况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全年展览8个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062"/>
        <w:gridCol w:w="1238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名称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品数量</w:t>
            </w:r>
          </w:p>
        </w:tc>
        <w:tc>
          <w:tcPr>
            <w:tcW w:w="379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全年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天香飘渺——沉香与中国古代香器展 香知篇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3792" w:type="dxa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自从沉香走入人们的视野，就以其木寂香生的传奇经历和优美的气息被世人推崇，有许多著作对沉香进行过详细的描述，但由于时代久远、系统庞杂，加之流传过程中难免讹误，致使沉香名目繁多、分类各异。为了更好地认识沉香，我们既借鉴古籍中的分类方法，又融合现代研究理念，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回答沉香的基本概念。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2020全年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承传-古今香馨生活之美·红楼香事篇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《红楼梦》是中国传统文化中的一株“阆苑仙葩”，它的要眇之旨、微妙之言引无数人流连，它以缜密用笔、繁丽著色，勾勒出世间富贵、人情盛衰。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果香、屋香、药香、赠香，是古代钟鸣鼎食之家的尊崇显贵；香衣、香丸、香囊、香帕，是大观园中女儿们的旖旎多情；衣中趣、酒中乐、茶中情，细事闲情里的香，晕染了园中的嗅觉美，描摹了清香流韵的生活图景。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“红楼香事”追摄明清香事，以香点缀温情，再现艺术生活。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2020年3月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古人的防疫智慧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利用博物馆微信、抖音平台围绕“古人的防疫智慧”通过文章、视频等方式，进行线上展览。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织香成裳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利用博物馆微信、抖音平台围绕“沉香基础知识”、“香器趣谈”等内容通过文章、视频等方式，进行线上展览。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2020年5月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云游大观园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利用博物馆微信、抖音平台围绕“大观园中的用香生活”通过文章、视频等方式，进行线上展览。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2020年6月-12月</w:t>
            </w:r>
          </w:p>
        </w:tc>
        <w:tc>
          <w:tcPr>
            <w:tcW w:w="2062" w:type="dxa"/>
            <w:vAlign w:val="top"/>
          </w:tcPr>
          <w:p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承传·山居香话</w:t>
            </w:r>
          </w:p>
        </w:tc>
        <w:tc>
          <w:tcPr>
            <w:tcW w:w="1238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170</w:t>
            </w:r>
          </w:p>
        </w:tc>
        <w:tc>
          <w:tcPr>
            <w:tcW w:w="379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特展以多元感官体验，感受历史，走近自然，透过别样的山居环境，体会古来所追求崇尚的天人合一宇宙观。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2020年8月-10月</w:t>
            </w:r>
          </w:p>
        </w:tc>
        <w:tc>
          <w:tcPr>
            <w:tcW w:w="206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承传-古今香馨生活之美·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山居消夏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篇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379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夏日炎炎，古人自会寻找清凉之地，在山中避暑，是人们的首选。上至天潢贵胄下至平民百姓，在长夏之中，皆会利用山林得天独厚的优势，充分发挥生活的智慧解暑降温，尽情享受季节变化带来的生活乐趣，而在诸多生活方式中，香都伴随左右，它有等诸多功效，都有香的身影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在《“承传”古今香馨生活之美——山居消夏篇》中，利用“LIVE IN”体验区的山水环境，结合展品、展板、艺术空间、文化活动等多种形式，围绕“山居消夏”，将展览分为“听香”（消暑用什么样的香）、“仙隐”（独处时的用香）、“和风”（雅集时的用香）、“觅道”（消暑用香的升华）四个单元，充分利用艺术空间，从衣、食、住、行不同的生活角度深入解读古人在山居之中如何以“香”消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2020年10月-12月</w:t>
            </w:r>
          </w:p>
        </w:tc>
        <w:tc>
          <w:tcPr>
            <w:tcW w:w="206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乾隆皇帝的沉香缘</w:t>
            </w:r>
          </w:p>
        </w:tc>
        <w:tc>
          <w:tcPr>
            <w:tcW w:w="1238" w:type="dxa"/>
            <w:vAlign w:val="top"/>
          </w:tcPr>
          <w:p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65</w:t>
            </w:r>
          </w:p>
        </w:tc>
        <w:tc>
          <w:tcPr>
            <w:tcW w:w="379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展览选取乾隆皇帝作为主体人物做为线索，串联这一时期宫廷香事的不同角度，为观众揭示了沉香在宫廷中的应用与地位，讲述乾隆皇帝与沉香的不解之缘.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pStyle w:val="3"/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二、社会教育</w:t>
      </w:r>
    </w:p>
    <w:p>
      <w:pPr>
        <w:pStyle w:val="4"/>
        <w:bidi w:val="0"/>
        <w:spacing w:line="360" w:lineRule="auto"/>
        <w:rPr>
          <w:rFonts w:hint="eastAsia" w:cs="仿宋_GB2312"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</w:rPr>
        <w:t>（一）</w:t>
      </w:r>
      <w:r>
        <w:rPr>
          <w:rFonts w:hint="eastAsia" w:cs="仿宋_GB2312" w:asciiTheme="minorEastAsia" w:hAnsiTheme="minorEastAsia" w:eastAsiaTheme="minorEastAsia"/>
          <w:b/>
          <w:bCs/>
          <w:color w:val="000000"/>
          <w:sz w:val="24"/>
          <w:szCs w:val="24"/>
        </w:rPr>
        <w:t>志愿者工作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4"/>
          <w:szCs w:val="24"/>
        </w:rPr>
        <w:t>天津沉香艺术博物馆志愿者主要负责日常讲解接待工作。</w:t>
      </w:r>
    </w:p>
    <w:p>
      <w:pPr>
        <w:pStyle w:val="4"/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（二）社教活动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节气活动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为了是观众更好的了解中国传统的生活美学，博物馆通过资料收集整理出古人在特定时间的相关饮食、习俗、游戏等，通过馆内多次实验确定方案成熟后，将其以雅集的形式向外推广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在重要的节气、节日举办相应的文化体验活动合计8场。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3506470"/>
            <wp:effectExtent l="0" t="0" r="10160" b="17780"/>
            <wp:docPr id="1" name="图片 1" descr="3fc15b329d95734548de9757ffdb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c15b329d95734548de9757ffdb5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32585" cy="1087120"/>
            <wp:effectExtent l="0" t="0" r="5715" b="17780"/>
            <wp:docPr id="7" name="图片 7" descr="7db86a7aaeeaf36cada8c0def3cd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b86a7aaeeaf36cada8c0def3cdf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29410" cy="1087755"/>
            <wp:effectExtent l="0" t="0" r="8890" b="17145"/>
            <wp:docPr id="8" name="图片 8" descr="08e88ea5e9ddfa58d064d6cbf691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e88ea5e9ddfa58d064d6cbf6911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48460" cy="1097915"/>
            <wp:effectExtent l="0" t="0" r="8890" b="6985"/>
            <wp:docPr id="9" name="图片 9" descr="67e0118920effec60788a3ebb0e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7e0118920effec60788a3ebb0e82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5bcd84616484e1cce7488f9e1dfe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cd84616484e1cce7488f9e1dfed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042ad911fc2ee4c6a72ae1d0b3c8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2ad911fc2ee4c6a72ae1d0b3c89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14170" cy="1210945"/>
            <wp:effectExtent l="0" t="0" r="5080" b="8255"/>
            <wp:docPr id="3" name="图片 3" descr="e2305e1aa4158cf137282b2c5ccc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305e1aa4158cf137282b2c5ccc0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13535" cy="1210310"/>
            <wp:effectExtent l="0" t="0" r="5715" b="8890"/>
            <wp:docPr id="5" name="图片 5" descr="d2eb937e136aae88c1aab1ecbe9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2eb937e136aae88c1aab1ecbe958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16075" cy="1212215"/>
            <wp:effectExtent l="0" t="0" r="3175" b="6985"/>
            <wp:docPr id="6" name="图片 6" descr="e6f22e4449520c0cb285a62a5ff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6f22e4449520c0cb285a62a5ff24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直播活动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针对疫情带来的参观不便，天津沉香艺术博物馆推出“云游博物馆”活动，通过直播看展、文化对谈的方式，使观众能够不受空间的限制，和博物馆有亲密的互动。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在直播选题上，选择观众喜闻乐见的话题，在博物馆日的直播中，和观众分享古人如何以香防疫。在端午节的直播中，带观众一起参观《红楼香事》展览，聊一聊红楼梦中人如何过端午。在《山居消夏》展览开幕时，邀请美食家和博物馆人一起到山中去，分享古人在山中消夏的“香”生活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除了博物馆自有平台外，我馆也积极和其他机构合作，在冬季伊始，作为天津市博物馆文化旅游发展联盟的成员，受知乎平台邀请，在知友空间进行文化讲座“冬天的天津，哪些气味令你念念不忘？”</w:t>
      </w:r>
    </w:p>
    <w:p>
      <w:pPr>
        <w:pStyle w:val="4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数字博物馆建设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天津沉香艺术博物馆致力于打造数字化博物馆，推出了包括《知香——沉香科普展》、《丝路香语》、《乾隆皇帝的沉香缘》、《空灵之约——中国沉香文化展》在内的四个线上展览，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高清馆藏照片欣赏、相关文化知识推送等板块，打破时空的局限。</w:t>
      </w:r>
    </w:p>
    <w:p>
      <w:pPr>
        <w:pStyle w:val="3"/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宣传</w:t>
      </w:r>
    </w:p>
    <w:p>
      <w:pPr>
        <w:pStyle w:val="4"/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（一）报纸、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电视媒体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随着博物馆影响力的提高，与天津电视台、天津日报建立了良好的合作关系，成为其进行文博相关活动宣传、采访时的重点对象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天津电视台都市频道、天津日报，就天津市民文娱休闲活动相关内容报道</w:t>
      </w:r>
    </w:p>
    <w:p>
      <w:pPr>
        <w:pStyle w:val="4"/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（二）网络宣传</w:t>
      </w:r>
    </w:p>
    <w:p>
      <w:pPr>
        <w:pStyle w:val="5"/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官方网站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网址：http://www.chenxiang-art.com/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官方微博</w:t>
      </w:r>
    </w:p>
    <w:p>
      <w:pPr>
        <w:spacing w:line="360" w:lineRule="auto"/>
        <w:ind w:firstLine="482" w:firstLineChars="200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</w:rPr>
        <w:drawing>
          <wp:inline distT="0" distB="0" distL="0" distR="0">
            <wp:extent cx="5295265" cy="2265045"/>
            <wp:effectExtent l="0" t="0" r="635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官方微信</w:t>
      </w:r>
    </w:p>
    <w:p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官方微信分为服务号和订阅号，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提供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门票预约、公共教育、活动与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服务等内容。2020年微信平台利用博物馆专业知识结合时事，</w:t>
      </w:r>
      <w:r>
        <w:rPr>
          <w:rFonts w:hint="eastAsia" w:ascii="宋体" w:hAnsi="宋体" w:eastAsia="宋体" w:cs="宋体"/>
          <w:color w:val="191919"/>
          <w:kern w:val="0"/>
          <w:sz w:val="24"/>
          <w:szCs w:val="24"/>
          <w:highlight w:val="none"/>
          <w:lang w:val="en-US" w:eastAsia="zh-CN" w:bidi="ar"/>
        </w:rPr>
        <w:t>针对疫情期间，人们普遍关注的防疫问题，博物馆立足本馆学术研究专长，通过网络平台发表十余篇专题文章并利用直播平台与观众进行互动，分享古人战疫的宝贵经验，学习古人战疫的不屈精神，通过多样化的手段，在共同战“疫”的过程中，为大众提供丰富的精神食粮。在后疫情时代，博物馆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合计发布内容44篇</w:t>
      </w:r>
      <w:r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</w:rPr>
        <w:t>。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lang w:eastAsia="zh-CN"/>
        </w:rPr>
      </w:pPr>
    </w:p>
    <w:p>
      <w:pPr>
        <w:pStyle w:val="3"/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四、博物馆安全工作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20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，后勤保障部加快推进突发情况应急预案的拟定执行， 构建起长期有效的安全防范机制；加大宣传教育力度，多次召开安全生产服务会和班会、月考核会对安全问题进行常监督、常提醒，顺利实现全年无事故。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设备安全方面，积极配合各部门需求和重大活动需要，对重要设备进行彻底检查。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用电安全方面，全年开展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次用电安全大检查，完成灯具及线路等维修工作，第一时间对老化、损坏、违规的设备和线路进行修缮整改及时排除安全隐患。</w:t>
      </w:r>
    </w:p>
    <w:p>
      <w:pPr>
        <w:pStyle w:val="3"/>
        <w:numPr>
          <w:ilvl w:val="0"/>
          <w:numId w:val="3"/>
        </w:num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文物保护工作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完善文物保护管理制度，完善文物基础信息，做到档案实时更新，实时查阅。</w:t>
      </w:r>
      <w:bookmarkStart w:id="0" w:name="_GoBack"/>
      <w:bookmarkEnd w:id="0"/>
    </w:p>
    <w:p>
      <w:pPr>
        <w:pStyle w:val="3"/>
        <w:numPr>
          <w:ilvl w:val="0"/>
          <w:numId w:val="3"/>
        </w:num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文创开发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由博物馆提炼到馆参观人的实际需求，提供开发创意方案，丰富馆内的实物类文化创意产品种类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其中传承仿古类5种，传承创新类12种，聚珍典藏类5种，生活日用类20种。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  <w:t>科研情况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与希言自然生活研究所合作研发，唐诗中的香、沉香与饮食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与IFF国际香精香料公司联合开发四季中国香系列香水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与百色百香合作研发沉香提取物制作植物护肤品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与山东中医药大学合作项目“嗅觉用香康养研究”进入第四期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八、博物馆参加组织评估及所获荣誉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1、在2020年第四批全国博物馆定级工作中，天津沉香艺术博物馆被评为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国家二级博物馆。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val="en-US" w:eastAsia="zh-CN"/>
        </w:rPr>
        <w:t>2020年参加天津市社会组织评估，被评为“4A”级。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F1E2F2"/>
    <w:multiLevelType w:val="singleLevel"/>
    <w:tmpl w:val="DDF1E2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5CB8C5"/>
    <w:multiLevelType w:val="singleLevel"/>
    <w:tmpl w:val="0F5CB8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03B2784"/>
    <w:multiLevelType w:val="singleLevel"/>
    <w:tmpl w:val="303B278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447CF2"/>
    <w:multiLevelType w:val="singleLevel"/>
    <w:tmpl w:val="51447C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77CB"/>
    <w:rsid w:val="0A0F77CB"/>
    <w:rsid w:val="153014BF"/>
    <w:rsid w:val="1F037325"/>
    <w:rsid w:val="27E5306B"/>
    <w:rsid w:val="2DFD3A8D"/>
    <w:rsid w:val="30B503CA"/>
    <w:rsid w:val="30E73C21"/>
    <w:rsid w:val="38C87842"/>
    <w:rsid w:val="46E02B17"/>
    <w:rsid w:val="5A62774A"/>
    <w:rsid w:val="5A99671E"/>
    <w:rsid w:val="6B35388B"/>
    <w:rsid w:val="72781580"/>
    <w:rsid w:val="72E5096B"/>
    <w:rsid w:val="7D7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2020-03-13T16:13:00Z</dcterms:created>
  <dc:creator>Gatto.Y</dc:creator>
  <cp:lastModifiedBy>Gatto.Y</cp:lastModifiedBy>
  <dcterms:modified xsi:type="dcterms:W3CDTF">2021-02-08T03:36:24Z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